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olor w:val="1F3A5F"/>
          <w:sz w:val="40"/>
        </w:rPr>
        <w:t>Questions for the Customer</w:t>
      </w:r>
    </w:p>
    <w:p>
      <w:pPr>
        <w:spacing w:after="80"/>
      </w:pPr>
      <w:r>
        <w:rPr>
          <w:rFonts w:ascii="Calibri" w:hAnsi="Calibri"/>
          <w:i/>
          <w:color w:val="595959"/>
          <w:sz w:val="22"/>
        </w:rPr>
        <w:t>AsterVale Advisory — AV-RFP-2026-17 · Bid response support (Issue 1.0, incl. Addendum 01)</w:t>
      </w:r>
    </w:p>
    <w:p>
      <w:pPr>
        <w:spacing w:after="200"/>
        <w:pBdr>
          <w:bottom w:val="single" w:sz="6" w:space="1" w:color="1F3A5F"/>
        </w:pBdr>
      </w:pPr>
    </w:p>
    <w:p>
      <w:pPr>
        <w:pStyle w:val="Heading1"/>
      </w:pPr>
      <w:r>
        <w:t>Purpose and how to use this list</w:t>
      </w:r>
    </w:p>
    <w:p>
      <w:r>
        <w:t>This document is the customer-facing question list for the AsterVale AV-RFP-2026-17 response. It separates the three kinds of open item so the bid team does not confuse a disclosure with a question:</w:t>
      </w:r>
    </w:p>
    <w:p>
      <w:pPr>
        <w:pStyle w:val="ListBullet"/>
        <w:spacing w:after="80"/>
      </w:pPr>
      <w:r>
        <w:rPr>
          <w:b/>
          <w:color w:val="1F3A5F"/>
        </w:rPr>
        <w:t xml:space="preserve">Clarification question — </w:t>
      </w:r>
      <w:r>
        <w:t>an underspecified customer requirement. Submit the question to resolve it before a final position (Q-01 to Q-06).</w:t>
      </w:r>
    </w:p>
    <w:p>
      <w:pPr>
        <w:pStyle w:val="ListBullet"/>
        <w:spacing w:after="80"/>
      </w:pPr>
      <w:r>
        <w:rPr>
          <w:b/>
          <w:color w:val="1F3A5F"/>
        </w:rPr>
        <w:t xml:space="preserve">Contract term — </w:t>
      </w:r>
      <w:r>
        <w:t>a customer draft-agreement position that differs from the Noumi standard. Confirm or negotiate with the customer's commercial and legal team (Q-07 to Q-12).</w:t>
      </w:r>
    </w:p>
    <w:p>
      <w:pPr>
        <w:pStyle w:val="ListBullet"/>
        <w:spacing w:after="80"/>
      </w:pPr>
      <w:r>
        <w:rPr>
          <w:b/>
          <w:color w:val="1F3A5F"/>
        </w:rPr>
        <w:t xml:space="preserve">Product gap — </w:t>
      </w:r>
      <w:r>
        <w:t>a Noumi capability limitation to disclose in the response. This is not a question, and we do not ask the customer to change the requirement (Part 3).</w:t>
      </w:r>
    </w:p>
    <w:p>
      <w:r>
        <w:t>The Excel matrix (AsterVale_Requirements_Matrix.xlsx) maps all 77 requirements and mirrors these questions with the same Q-01…Q-12 identifiers.</w:t>
      </w:r>
    </w:p>
    <w:p>
      <w:pPr>
        <w:pStyle w:val="Heading1"/>
      </w:pPr>
      <w:r>
        <w:t>Part 1 — Clarification questions (Q-01 to Q-06)</w:t>
      </w:r>
    </w:p>
    <w:p>
      <w:r>
        <w:t>Submit these to the customer to resolve ambiguous requirements before the final position is written. Each includes why the answer matters and the Noumi default if the customer does not respond.</w:t>
      </w:r>
    </w:p>
    <w:tbl>
      <w:tblPr>
        <w:tblW w:type="dxa" w:w="9360"/>
        <w:tblLayout w:type="fixed"/>
        <w:tblLook w:firstColumn="1" w:firstRow="1" w:lastColumn="0" w:lastRow="0" w:noHBand="0" w:noVBand="1" w:val="04A0"/>
        <w:jc w:val="lef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Ind w:type="dxa" w:w="120"/>
      </w:tblPr>
      <w:tblGrid>
        <w:gridCol w:w="648"/>
        <w:gridCol w:w="3312"/>
        <w:gridCol w:w="2880"/>
        <w:gridCol w:w="2520"/>
      </w:tblGrid>
      <w:tr>
        <w:trPr/>
        <w:tc>
          <w:tcPr>
            <w:tcW w:type="dxa" w:w="648"/>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ID</w:t>
            </w:r>
          </w:p>
        </w:tc>
        <w:tc>
          <w:tcPr>
            <w:tcW w:type="dxa" w:w="3312"/>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Question</w:t>
            </w:r>
          </w:p>
        </w:tc>
        <w:tc>
          <w:tcPr>
            <w:tcW w:type="dxa" w:w="288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Why it matters</w:t>
            </w:r>
          </w:p>
        </w:tc>
        <w:tc>
          <w:tcPr>
            <w:tcW w:type="dxa" w:w="252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Noumi proposed default</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Q-01</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Does inspecting shared project files (rather than private conversation transcripts) satisfy the compliance-reviewer requirement? (AV-026)</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Noumi does not expose private transcripts to administrators or reviewers by design; if central conversation review is mandatory, it is a product gap.</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Accept file-based review of shared project artifacts.</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Q-02</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Is a flat role-group model (no nested group inheritance) acceptable for engagement access? (AV-025)</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Noumi provides flat groups plus direct member grants; a nested hierarchy would require manual mapping.</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Flat groups + direct member grants.</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Q-03</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What form must the member/seat inventory export take — a dedicated automated export file, or is the admin usage/seat view sufficient? (AV-028)</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Determines whether the current seat/usage views plus audit-event export meet the requirement or a new export feature is needed.</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Admin usage/seat views + audit-event export.</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Q-04</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Which external repositories beyond Microsoft 365 must be in scope for import and authorized update? (AV-007)</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Scopes connector configuration and any custom-integration cost; Noumi base scope is Microsoft 365.</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Microsoft 365 file read + email draft only.</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Q-05</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Of the up-to-200 migration documents, how many are scanned, password-protected, or larger than 200 MB? (RFP §3.1 / §4.1)</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OCR, decryption and oversized-file splitting are not guaranteed and change the migration effort.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Text-searchable files; oversized files split under change control.</w:t>
            </w:r>
          </w:p>
        </w:tc>
      </w:tr>
      <w:tr>
        <w:trPr/>
        <w:tc>
          <w:tcPr>
            <w:tcW w:type="dxa" w:w="648"/>
            <w:vAlign w:val="top"/>
            <w:tcMar>
              <w:top w:w="80" w:type="dxa"/>
              <w:bottom w:w="80" w:type="dxa"/>
              <w:start w:w="120" w:type="dxa"/>
              <w:end w:w="120" w:type="dxa"/>
            </w:tcMar>
          </w:tcPr>
          <w:p>
            <w:pPr>
              <w:spacing w:before="40" w:after="40" w:line="276" w:lineRule="auto"/>
              <w:jc w:val="center"/>
            </w:pPr>
            <w:r>
              <w:rPr>
                <w:rFonts w:ascii="Calibri" w:hAnsi="Calibri"/>
                <w:b w:val="0"/>
                <w:sz w:val="20"/>
              </w:rPr>
              <w:t>Q-06</w:t>
            </w:r>
          </w:p>
        </w:tc>
        <w:tc>
          <w:tcPr>
            <w:tcW w:type="dxa" w:w="3312"/>
            <w:vAlign w:val="top"/>
            <w:tcMar>
              <w:top w:w="80" w:type="dxa"/>
              <w:bottom w:w="80" w:type="dxa"/>
              <w:start w:w="120" w:type="dxa"/>
              <w:end w:w="120" w:type="dxa"/>
            </w:tcMar>
          </w:tcPr>
          <w:p>
            <w:pPr>
              <w:spacing w:before="40" w:after="40" w:line="276" w:lineRule="auto"/>
            </w:pPr>
            <w:r>
              <w:rPr>
                <w:rFonts w:ascii="Calibri" w:hAnsi="Calibri"/>
                <w:b w:val="0"/>
                <w:sz w:val="20"/>
              </w:rPr>
              <w:t>Confirm that “email access” means drafting (not autonomous sending), and identify who provides the Microsoft admin consent and licensed accounts. (AV-031)</w:t>
            </w:r>
          </w:p>
        </w:tc>
        <w:tc>
          <w:tcPr>
            <w:tcW w:type="dxa" w:w="2880"/>
            <w:vAlign w:val="top"/>
            <w:tcMar>
              <w:top w:w="80" w:type="dxa"/>
              <w:bottom w:w="80" w:type="dxa"/>
              <w:start w:w="120" w:type="dxa"/>
              <w:end w:w="120" w:type="dxa"/>
            </w:tcMar>
          </w:tcPr>
          <w:p>
            <w:pPr>
              <w:spacing w:before="40" w:after="40" w:line="276" w:lineRule="auto"/>
            </w:pPr>
            <w:r>
              <w:rPr>
                <w:rFonts w:ascii="Calibri" w:hAnsi="Calibri"/>
                <w:b w:val="0"/>
                <w:sz w:val="20"/>
              </w:rPr>
              <w:t>Clarifies the read/draft/send boundary and the ownership of integration setup.</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Draft only; send requires a separate approved action; customer supplies consent.</w:t>
            </w:r>
          </w:p>
        </w:tc>
      </w:tr>
    </w:tbl>
    <w:p>
      <w:pPr>
        <w:pStyle w:val="Heading1"/>
      </w:pPr>
      <w:r>
        <w:t>Part 2 — Contract terms to confirm (Q-07 to Q-12)</w:t>
      </w:r>
    </w:p>
    <w:p>
      <w:r>
        <w:t>Positions to confirm or negotiate with the customer's commercial and legal team. None of these is a product capability; each is a deviation from the Noumi standard agreement.</w:t>
      </w:r>
    </w:p>
    <w:tbl>
      <w:tblPr>
        <w:tblW w:type="dxa" w:w="9360"/>
        <w:tblLayout w:type="fixed"/>
        <w:tblLook w:firstColumn="1" w:firstRow="1" w:lastColumn="0" w:lastRow="0" w:noHBand="0" w:noVBand="1" w:val="04A0"/>
        <w:jc w:val="lef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Ind w:type="dxa" w:w="120"/>
      </w:tblPr>
      <w:tblGrid>
        <w:gridCol w:w="576"/>
        <w:gridCol w:w="1224"/>
        <w:gridCol w:w="2520"/>
        <w:gridCol w:w="2520"/>
        <w:gridCol w:w="2520"/>
      </w:tblGrid>
      <w:tr>
        <w:trPr/>
        <w:tc>
          <w:tcPr>
            <w:tcW w:type="dxa" w:w="576"/>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ID</w:t>
            </w:r>
          </w:p>
        </w:tc>
        <w:tc>
          <w:tcPr>
            <w:tcW w:type="dxa" w:w="1224"/>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Clause</w:t>
            </w:r>
          </w:p>
        </w:tc>
        <w:tc>
          <w:tcPr>
            <w:tcW w:type="dxa" w:w="252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Customer position</w:t>
            </w:r>
          </w:p>
        </w:tc>
        <w:tc>
          <w:tcPr>
            <w:tcW w:type="dxa" w:w="252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Noumi position</w:t>
            </w:r>
          </w:p>
        </w:tc>
        <w:tc>
          <w:tcPr>
            <w:tcW w:type="dxa" w:w="252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Proposed handling</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Q-07</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4.2 Payment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Net 60 days from correct invoice.</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Net 30 days from valid invoice.</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Propose net 30 (net 45 with Finance approval).</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Q-08</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11.1 / 11.2 Liability</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3× annual fees; data / confidentiality / IP uncapped.</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12-month general cap; 2× annual data cap.</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Propose standard caps; escalate any 3× acceptance.</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Q-09</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6.3 Incident notice</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24 hours after awareness of an incident.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48 hours after confirming customer-data impact.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Negotiate trigger + timeline (unchanged by Addendum Q14).</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Q-10</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12.3 Termination</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Customer may terminate for convenience on 30 days.</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No mid-term convenience right.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Propose nonrenewal or a priced transition.</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Q-11</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8.2 IP warranty</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Unconditional non-infringement warranty.</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Subject to third-party rights + exclusions.</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Propose subject-to-third-party-rights wording.</w:t>
            </w:r>
          </w:p>
        </w:tc>
      </w:tr>
      <w:tr>
        <w:trPr/>
        <w:tc>
          <w:tcPr>
            <w:tcW w:type="dxa" w:w="576"/>
            <w:vAlign w:val="top"/>
            <w:tcMar>
              <w:top w:w="80" w:type="dxa"/>
              <w:bottom w:w="80" w:type="dxa"/>
              <w:start w:w="120" w:type="dxa"/>
              <w:end w:w="120" w:type="dxa"/>
            </w:tcMar>
          </w:tcPr>
          <w:p>
            <w:pPr>
              <w:spacing w:before="40" w:after="40" w:line="276" w:lineRule="auto"/>
              <w:jc w:val="center"/>
            </w:pPr>
            <w:r>
              <w:rPr>
                <w:rFonts w:ascii="Calibri" w:hAnsi="Calibri"/>
                <w:b w:val="0"/>
                <w:sz w:val="20"/>
              </w:rPr>
              <w:t>Q-12</w:t>
            </w:r>
          </w:p>
        </w:tc>
        <w:tc>
          <w:tcPr>
            <w:tcW w:type="dxa" w:w="1224"/>
            <w:vAlign w:val="top"/>
            <w:tcMar>
              <w:top w:w="80" w:type="dxa"/>
              <w:bottom w:w="80" w:type="dxa"/>
              <w:start w:w="120" w:type="dxa"/>
              <w:end w:w="120" w:type="dxa"/>
            </w:tcMar>
          </w:tcPr>
          <w:p>
            <w:pPr>
              <w:spacing w:before="40" w:after="40" w:line="276" w:lineRule="auto"/>
            </w:pPr>
            <w:r>
              <w:rPr>
                <w:rFonts w:ascii="Calibri" w:hAnsi="Calibri"/>
                <w:b w:val="0"/>
                <w:sz w:val="20"/>
              </w:rPr>
              <w:t>13.1 Audit</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Unlimited audits with onsite access.</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Annual documentary review.</w:t>
            </w:r>
          </w:p>
        </w:tc>
        <w:tc>
          <w:tcPr>
            <w:tcW w:type="dxa" w:w="2520"/>
            <w:vAlign w:val="top"/>
            <w:tcMar>
              <w:top w:w="80" w:type="dxa"/>
              <w:bottom w:w="80" w:type="dxa"/>
              <w:start w:w="120" w:type="dxa"/>
              <w:end w:w="120" w:type="dxa"/>
            </w:tcMar>
          </w:tcPr>
          <w:p>
            <w:pPr>
              <w:spacing w:before="40" w:after="40" w:line="276" w:lineRule="auto"/>
            </w:pPr>
            <w:r>
              <w:rPr>
                <w:rFonts w:ascii="Calibri" w:hAnsi="Calibri"/>
                <w:b w:val="0"/>
                <w:sz w:val="20"/>
              </w:rPr>
              <w:t>Propose annual review + proportionate escalation.</w:t>
            </w:r>
          </w:p>
        </w:tc>
      </w:tr>
    </w:tbl>
    <w:p>
      <w:pPr>
        <w:pStyle w:val="Heading1"/>
      </w:pPr>
      <w:r>
        <w:t>Part 3 — Product gaps: disclose, do not ask</w:t>
      </w:r>
    </w:p>
    <w:p>
      <w:r>
        <w:t>These are Noumi capability limitations to disclose in the response. They are not questions, and we do not ask the customer to change the requirement. Where a paired clarification exists (Q-01, Q-02), the disclosure and the question are kept separate.</w:t>
      </w:r>
    </w:p>
    <w:tbl>
      <w:tblPr>
        <w:tblW w:type="dxa" w:w="9360"/>
        <w:tblLayout w:type="fixed"/>
        <w:tblLook w:firstColumn="1" w:firstRow="1" w:lastColumn="0" w:lastRow="0" w:noHBand="0" w:noVBand="1" w:val="04A0"/>
        <w:jc w:val="lef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Ind w:type="dxa" w:w="120"/>
      </w:tblPr>
      <w:tblGrid>
        <w:gridCol w:w="1296"/>
        <w:gridCol w:w="3744"/>
        <w:gridCol w:w="4320"/>
      </w:tblGrid>
      <w:tr>
        <w:trPr/>
        <w:tc>
          <w:tcPr>
            <w:tcW w:type="dxa" w:w="1296"/>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Ref</w:t>
            </w:r>
          </w:p>
        </w:tc>
        <w:tc>
          <w:tcPr>
            <w:tcW w:type="dxa" w:w="3744"/>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Gap (what Noumi cannot do)</w:t>
            </w:r>
          </w:p>
        </w:tc>
        <w:tc>
          <w:tcPr>
            <w:tcW w:type="dxa" w:w="4320"/>
            <w:vAlign w:val="center"/>
            <w:shd w:val="clear" w:color="auto" w:fill="E8EEF5"/>
            <w:tcMar>
              <w:top w:w="80" w:type="dxa"/>
              <w:bottom w:w="80" w:type="dxa"/>
              <w:start w:w="120" w:type="dxa"/>
              <w:end w:w="120" w:type="dxa"/>
            </w:tcMar>
          </w:tcPr>
          <w:p>
            <w:pPr>
              <w:spacing w:before="40" w:after="40" w:line="276" w:lineRule="auto"/>
              <w:jc w:val="center"/>
            </w:pPr>
            <w:r>
              <w:rPr>
                <w:rFonts w:ascii="Calibri" w:hAnsi="Calibri"/>
                <w:b/>
                <w:color w:val="1F3A5F"/>
                <w:sz w:val="20"/>
              </w:rPr>
              <w:t>Noumi disclosure / position</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AV-056</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No continuous bidirectional Notion synchronization.</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Alternative: controlled one-way export/import via a supported connector (scored, not base scope).</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AV-043</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No SCIM provisioning endpoint or automated lifecycle sync.</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SAML SSO plus a documented manual joiner/mover/leaver process (scored, not a gate).</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AV-042</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No Noumi ISO 27001 or SOC 2 report.</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Disclose absence; provide control description, test evidence and evidence-review approach (scored).</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AV-035</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Fully-offline, locally hosted foundation models not included; private deployment is SOW only.</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Singapore managed-cloud base bid; separate deployment assessment if required.</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AV-048</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Advanced PowerPoint animations, embedded objects and arbitrary layout fidelity not guaranteed.</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Editable text/tables/charts; advanced features flagged for manual rework (scored).</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AV-008</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Public / shared-link distribution of deliverables excluded from proposed scope.</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Internal sharing within authorized project access only.</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AV-026</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No central console to read all private conversations (privacy boundary).</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Paired clarification Q-01; propose file-based compliance review.</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AV-033</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Custom API/MCP integration requires a separately agreed SOW.</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Paid SOW with documented scope, owner, rotation and revocation test.</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AV-025</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No nested group inheritance; flat role-group model only.</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Paired clarification Q-02; flat groups + direct member grants.</w:t>
            </w:r>
          </w:p>
        </w:tc>
      </w:tr>
      <w:tr>
        <w:trPr/>
        <w:tc>
          <w:tcPr>
            <w:tcW w:type="dxa" w:w="1296"/>
            <w:vAlign w:val="top"/>
            <w:tcMar>
              <w:top w:w="80" w:type="dxa"/>
              <w:bottom w:w="80" w:type="dxa"/>
              <w:start w:w="120" w:type="dxa"/>
              <w:end w:w="120" w:type="dxa"/>
            </w:tcMar>
          </w:tcPr>
          <w:p>
            <w:pPr>
              <w:spacing w:before="40" w:after="40" w:line="276" w:lineRule="auto"/>
              <w:jc w:val="center"/>
            </w:pPr>
            <w:r>
              <w:rPr>
                <w:rFonts w:ascii="Calibri" w:hAnsi="Calibri"/>
                <w:b w:val="0"/>
                <w:sz w:val="20"/>
              </w:rPr>
              <w:t>AV-037</w:t>
            </w:r>
          </w:p>
        </w:tc>
        <w:tc>
          <w:tcPr>
            <w:tcW w:type="dxa" w:w="3744"/>
            <w:vAlign w:val="top"/>
            <w:tcMar>
              <w:top w:w="80" w:type="dxa"/>
              <w:bottom w:w="80" w:type="dxa"/>
              <w:start w:w="120" w:type="dxa"/>
              <w:end w:w="120" w:type="dxa"/>
            </w:tcMar>
          </w:tcPr>
          <w:p>
            <w:pPr>
              <w:spacing w:before="40" w:after="40" w:line="276" w:lineRule="auto"/>
            </w:pPr>
            <w:r>
              <w:rPr>
                <w:rFonts w:ascii="Calibri" w:hAnsi="Calibri"/>
                <w:b w:val="0"/>
                <w:sz w:val="20"/>
              </w:rPr>
              <w:t>Customer-managed / bring-your-own-key not included in standard service.</w:t>
            </w:r>
          </w:p>
        </w:tc>
        <w:tc>
          <w:tcPr>
            <w:tcW w:type="dxa" w:w="4320"/>
            <w:vAlign w:val="top"/>
            <w:tcMar>
              <w:top w:w="80" w:type="dxa"/>
              <w:bottom w:w="80" w:type="dxa"/>
              <w:start w:w="120" w:type="dxa"/>
              <w:end w:w="120" w:type="dxa"/>
            </w:tcMar>
          </w:tcPr>
          <w:p>
            <w:pPr>
              <w:spacing w:before="40" w:after="40" w:line="276" w:lineRule="auto"/>
            </w:pPr>
            <w:r>
              <w:rPr>
                <w:rFonts w:ascii="Calibri" w:hAnsi="Calibri"/>
                <w:b w:val="0"/>
                <w:sz w:val="20"/>
              </w:rPr>
              <w:t>Noumi access-controlled keys with rotation (disclosure boundary).</w:t>
            </w: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595959"/>
        <w:sz w:val="16"/>
      </w:rPr>
      <w:t>Confidential — prepared for the AsterVale AV-RFP-2026-17 evaluation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